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B1EC" w14:textId="77777777" w:rsidR="009B7028" w:rsidRPr="00002FDB" w:rsidRDefault="009B7028" w:rsidP="009B7028">
      <w:pPr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002FDB">
        <w:rPr>
          <w:rFonts w:ascii="Times New Roman" w:hAnsi="Times New Roman"/>
          <w:b/>
          <w:sz w:val="24"/>
          <w:szCs w:val="24"/>
          <w:u w:val="single"/>
          <w:lang w:val="en-AU"/>
        </w:rPr>
        <w:t>Safety information and recommended handling</w:t>
      </w:r>
    </w:p>
    <w:p w14:paraId="42DA6A33" w14:textId="77777777" w:rsidR="009B7028" w:rsidRPr="007F64E0" w:rsidRDefault="009B7028" w:rsidP="009B7028">
      <w:pPr>
        <w:ind w:firstLine="708"/>
        <w:rPr>
          <w:rFonts w:ascii="Times New Roman" w:hAnsi="Times New Roman"/>
          <w:sz w:val="24"/>
          <w:szCs w:val="24"/>
          <w:lang w:val="en-AU"/>
        </w:rPr>
      </w:pPr>
      <w:r w:rsidRPr="007F64E0">
        <w:rPr>
          <w:rFonts w:ascii="Times New Roman" w:hAnsi="Times New Roman"/>
          <w:sz w:val="24"/>
          <w:szCs w:val="24"/>
          <w:lang w:val="en-AU"/>
        </w:rPr>
        <w:t xml:space="preserve">The dominant part of the actinomycetes collection is represented by </w:t>
      </w:r>
      <w:r w:rsidRPr="007F64E0">
        <w:rPr>
          <w:rFonts w:ascii="Times New Roman" w:hAnsi="Times New Roman"/>
          <w:i/>
          <w:iCs/>
          <w:sz w:val="24"/>
          <w:szCs w:val="24"/>
          <w:lang w:val="en-AU"/>
        </w:rPr>
        <w:t>Streptomyces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 spp. (</w:t>
      </w:r>
      <w:r>
        <w:rPr>
          <w:rFonts w:ascii="Times New Roman" w:hAnsi="Times New Roman"/>
          <w:sz w:val="24"/>
          <w:szCs w:val="24"/>
          <w:lang w:val="en-AU"/>
        </w:rPr>
        <w:t>roughly 95%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), </w:t>
      </w:r>
      <w:r w:rsidRPr="00002FDB">
        <w:rPr>
          <w:rFonts w:ascii="Times New Roman" w:hAnsi="Times New Roman"/>
          <w:b/>
          <w:sz w:val="24"/>
          <w:szCs w:val="24"/>
          <w:lang w:val="en-AU"/>
        </w:rPr>
        <w:t>whose are generally perceived as a non-pathogenic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. However, some </w:t>
      </w:r>
      <w:r w:rsidRPr="007F64E0">
        <w:rPr>
          <w:rFonts w:ascii="Times New Roman" w:hAnsi="Times New Roman"/>
          <w:i/>
          <w:iCs/>
          <w:sz w:val="24"/>
          <w:szCs w:val="24"/>
          <w:lang w:val="en-AU"/>
        </w:rPr>
        <w:t>Streptomyces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 strains have been already associated with respiratory problems and diseases worldwide. </w:t>
      </w:r>
      <w:r w:rsidRPr="00002FDB">
        <w:rPr>
          <w:rFonts w:ascii="Times New Roman" w:hAnsi="Times New Roman"/>
          <w:b/>
          <w:sz w:val="24"/>
          <w:szCs w:val="24"/>
          <w:lang w:val="en-AU"/>
        </w:rPr>
        <w:t>Therefore, all strains from CCA must be handled according to good microbiological practice and procedures in appropriately equipped laboratory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 (</w:t>
      </w:r>
      <w:hyperlink r:id="rId7" w:history="1">
        <w:r w:rsidRPr="00002FDB">
          <w:rPr>
            <w:rStyle w:val="Hypertextovodkaz"/>
            <w:rFonts w:ascii="Times New Roman" w:hAnsi="Times New Roman"/>
            <w:sz w:val="24"/>
            <w:szCs w:val="24"/>
            <w:lang w:val="en-AU"/>
          </w:rPr>
          <w:t>Laboratory biosafety manual. World Health Organization. 4th ed. Geneva, 2020</w:t>
        </w:r>
      </w:hyperlink>
      <w:r w:rsidRPr="007F64E0">
        <w:rPr>
          <w:rFonts w:ascii="Times New Roman" w:hAnsi="Times New Roman"/>
          <w:sz w:val="24"/>
          <w:szCs w:val="24"/>
          <w:lang w:val="en-AU"/>
        </w:rPr>
        <w:t>).</w:t>
      </w:r>
    </w:p>
    <w:p w14:paraId="5028FA99" w14:textId="77777777" w:rsidR="009B7028" w:rsidRPr="00002FDB" w:rsidRDefault="009B7028" w:rsidP="009B7028">
      <w:pPr>
        <w:ind w:firstLine="708"/>
        <w:rPr>
          <w:rFonts w:ascii="Times New Roman" w:hAnsi="Times New Roman"/>
          <w:b/>
          <w:sz w:val="24"/>
          <w:szCs w:val="24"/>
          <w:shd w:val="clear" w:color="auto" w:fill="FFFFFF"/>
          <w:lang w:val="en-AU"/>
        </w:rPr>
      </w:pPr>
      <w:r w:rsidRPr="00002FDB">
        <w:rPr>
          <w:rFonts w:ascii="Times New Roman" w:hAnsi="Times New Roman"/>
          <w:b/>
          <w:sz w:val="24"/>
          <w:szCs w:val="24"/>
          <w:lang w:val="en-AU"/>
        </w:rPr>
        <w:t>The vast majority of CCA strains are not covered by D</w:t>
      </w:r>
      <w:r w:rsidRPr="00002FDB">
        <w:rPr>
          <w:rFonts w:ascii="Times New Roman" w:hAnsi="Times New Roman"/>
          <w:b/>
          <w:sz w:val="24"/>
          <w:szCs w:val="24"/>
          <w:shd w:val="clear" w:color="auto" w:fill="FFFFFF"/>
          <w:lang w:val="en-AU"/>
        </w:rPr>
        <w:t>irective 2000/54/EC</w:t>
      </w:r>
      <w:r w:rsidRPr="007F64E0">
        <w:rPr>
          <w:rFonts w:ascii="Times New Roman" w:hAnsi="Times New Roman"/>
          <w:sz w:val="24"/>
          <w:szCs w:val="24"/>
          <w:shd w:val="clear" w:color="auto" w:fill="FFFFFF"/>
          <w:lang w:val="en-AU"/>
        </w:rPr>
        <w:t xml:space="preserve"> of the European Parliament and of the Council of 18 September 2000 on the protection of workers from risks related to exposure to biological agents at work</w:t>
      </w:r>
      <w:r>
        <w:rPr>
          <w:rFonts w:ascii="Times New Roman" w:hAnsi="Times New Roman"/>
          <w:sz w:val="24"/>
          <w:szCs w:val="24"/>
          <w:shd w:val="clear" w:color="auto" w:fill="FFFFFF"/>
          <w:lang w:val="en-AU"/>
        </w:rPr>
        <w:t xml:space="preserve">. </w:t>
      </w:r>
      <w:r w:rsidRPr="00002FDB">
        <w:rPr>
          <w:rFonts w:ascii="Times New Roman" w:hAnsi="Times New Roman"/>
          <w:b/>
          <w:sz w:val="24"/>
          <w:szCs w:val="24"/>
          <w:shd w:val="clear" w:color="auto" w:fill="FFFFFF"/>
          <w:lang w:val="en-AU"/>
        </w:rPr>
        <w:t xml:space="preserve">However, strains identified as </w:t>
      </w:r>
      <w:r w:rsidRPr="00002FDB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val="en-AU"/>
        </w:rPr>
        <w:t>Nocardia</w:t>
      </w:r>
      <w:r w:rsidRPr="00002FDB">
        <w:rPr>
          <w:rFonts w:ascii="Times New Roman" w:hAnsi="Times New Roman"/>
          <w:b/>
          <w:sz w:val="24"/>
          <w:szCs w:val="24"/>
          <w:shd w:val="clear" w:color="auto" w:fill="FFFFFF"/>
          <w:lang w:val="en-AU"/>
        </w:rPr>
        <w:t xml:space="preserve"> spp. are classified as group 2 biological agent, therefore activities involving the handling of a biological agent must be carried out only in working areas corresponding to at least containment level 2 according to the same EU directive</w:t>
      </w:r>
      <w:r w:rsidRPr="007F64E0">
        <w:rPr>
          <w:rFonts w:ascii="Times New Roman" w:hAnsi="Times New Roman"/>
          <w:sz w:val="24"/>
          <w:szCs w:val="24"/>
          <w:shd w:val="clear" w:color="auto" w:fill="FFFFFF"/>
          <w:lang w:val="en-A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n-AU"/>
        </w:rPr>
        <w:t xml:space="preserve"> The European directive is in concordance with </w:t>
      </w:r>
      <w:r w:rsidRPr="007F64E0">
        <w:rPr>
          <w:rFonts w:ascii="Times New Roman" w:hAnsi="Times New Roman"/>
          <w:sz w:val="24"/>
          <w:szCs w:val="24"/>
          <w:shd w:val="clear" w:color="auto" w:fill="FFFFFF"/>
          <w:lang w:val="en-AU"/>
        </w:rPr>
        <w:t xml:space="preserve">Czech 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Government Regulation </w:t>
      </w:r>
      <w:proofErr w:type="gramStart"/>
      <w:r w:rsidRPr="007F64E0">
        <w:rPr>
          <w:rFonts w:ascii="Times New Roman" w:hAnsi="Times New Roman"/>
          <w:sz w:val="24"/>
          <w:szCs w:val="24"/>
          <w:lang w:val="en-AU"/>
        </w:rPr>
        <w:t>no.</w:t>
      </w:r>
      <w:proofErr w:type="gramEnd"/>
      <w:r w:rsidRPr="007F64E0">
        <w:rPr>
          <w:rFonts w:ascii="Times New Roman" w:hAnsi="Times New Roman"/>
          <w:sz w:val="24"/>
          <w:szCs w:val="24"/>
          <w:lang w:val="en-AU"/>
        </w:rPr>
        <w:t xml:space="preserve"> 361/2007 Coll., </w:t>
      </w:r>
      <w:r>
        <w:rPr>
          <w:rFonts w:ascii="Times New Roman" w:hAnsi="Times New Roman"/>
          <w:sz w:val="24"/>
          <w:szCs w:val="24"/>
          <w:lang w:val="en-AU"/>
        </w:rPr>
        <w:t>which lays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 down</w:t>
      </w:r>
      <w:r>
        <w:rPr>
          <w:rFonts w:ascii="Times New Roman" w:hAnsi="Times New Roman"/>
          <w:sz w:val="24"/>
          <w:szCs w:val="24"/>
          <w:lang w:val="en-AU"/>
        </w:rPr>
        <w:t xml:space="preserve"> the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 conditions for the protection of </w:t>
      </w:r>
      <w:r>
        <w:rPr>
          <w:rFonts w:ascii="Times New Roman" w:hAnsi="Times New Roman"/>
          <w:sz w:val="24"/>
          <w:szCs w:val="24"/>
          <w:lang w:val="en-AU"/>
        </w:rPr>
        <w:t>the</w:t>
      </w:r>
      <w:r w:rsidRPr="007F64E0">
        <w:rPr>
          <w:rFonts w:ascii="Times New Roman" w:hAnsi="Times New Roman"/>
          <w:sz w:val="24"/>
          <w:szCs w:val="24"/>
          <w:lang w:val="en-AU"/>
        </w:rPr>
        <w:t xml:space="preserve"> health </w:t>
      </w:r>
      <w:r>
        <w:rPr>
          <w:rFonts w:ascii="Times New Roman" w:hAnsi="Times New Roman"/>
          <w:sz w:val="24"/>
          <w:szCs w:val="24"/>
          <w:lang w:val="en-AU"/>
        </w:rPr>
        <w:t xml:space="preserve">of employees </w:t>
      </w:r>
      <w:r w:rsidRPr="007F64E0">
        <w:rPr>
          <w:rFonts w:ascii="Times New Roman" w:hAnsi="Times New Roman"/>
          <w:sz w:val="24"/>
          <w:szCs w:val="24"/>
          <w:lang w:val="en-AU"/>
        </w:rPr>
        <w:t>at work.</w:t>
      </w:r>
      <w:r>
        <w:rPr>
          <w:rFonts w:ascii="Times New Roman" w:hAnsi="Times New Roman"/>
          <w:sz w:val="24"/>
          <w:szCs w:val="24"/>
          <w:lang w:val="en-AU"/>
        </w:rPr>
        <w:t xml:space="preserve"> However, differences in rules might occur among the countries. In Germain Technical Rules for Biological Agents (TRBA) are actinomycetes species </w:t>
      </w:r>
      <w:proofErr w:type="spellStart"/>
      <w:r w:rsidRPr="00EF055B">
        <w:rPr>
          <w:rFonts w:ascii="Times New Roman" w:hAnsi="Times New Roman"/>
          <w:i/>
          <w:iCs/>
          <w:sz w:val="24"/>
          <w:szCs w:val="24"/>
          <w:lang w:val="en-AU"/>
        </w:rPr>
        <w:t>Amycolatopsis</w:t>
      </w:r>
      <w:proofErr w:type="spellEnd"/>
      <w:r w:rsidRPr="00EF055B">
        <w:rPr>
          <w:rFonts w:ascii="Times New Roman" w:hAnsi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EF055B">
        <w:rPr>
          <w:rFonts w:ascii="Times New Roman" w:hAnsi="Times New Roman"/>
          <w:i/>
          <w:iCs/>
          <w:sz w:val="24"/>
          <w:szCs w:val="24"/>
          <w:lang w:val="en-AU"/>
        </w:rPr>
        <w:t>pretoriensis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and </w:t>
      </w:r>
      <w:r w:rsidRPr="00DD31DF">
        <w:rPr>
          <w:rFonts w:ascii="Times New Roman" w:hAnsi="Times New Roman"/>
          <w:i/>
          <w:iCs/>
          <w:sz w:val="24"/>
          <w:szCs w:val="24"/>
          <w:lang w:val="en-AU"/>
        </w:rPr>
        <w:t xml:space="preserve">Streptomyces </w:t>
      </w:r>
      <w:proofErr w:type="spellStart"/>
      <w:r w:rsidRPr="00DD31DF">
        <w:rPr>
          <w:rFonts w:ascii="Times New Roman" w:hAnsi="Times New Roman"/>
          <w:i/>
          <w:iCs/>
          <w:sz w:val="24"/>
          <w:szCs w:val="24"/>
          <w:lang w:val="en-AU"/>
        </w:rPr>
        <w:t>somalien</w:t>
      </w:r>
      <w:r>
        <w:rPr>
          <w:rFonts w:ascii="Times New Roman" w:hAnsi="Times New Roman"/>
          <w:i/>
          <w:iCs/>
          <w:sz w:val="24"/>
          <w:szCs w:val="24"/>
          <w:lang w:val="en-AU"/>
        </w:rPr>
        <w:t>si</w:t>
      </w:r>
      <w:r w:rsidRPr="00DD31DF">
        <w:rPr>
          <w:rFonts w:ascii="Times New Roman" w:hAnsi="Times New Roman"/>
          <w:i/>
          <w:iCs/>
          <w:sz w:val="24"/>
          <w:szCs w:val="24"/>
          <w:lang w:val="en-AU"/>
        </w:rPr>
        <w:t>s</w:t>
      </w:r>
      <w:proofErr w:type="spellEnd"/>
      <w:r w:rsidRPr="00DD31DF">
        <w:rPr>
          <w:rFonts w:ascii="Times New Roman" w:hAnsi="Times New Roman"/>
          <w:i/>
          <w:iCs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 xml:space="preserve">(also listed in CCA) </w:t>
      </w:r>
      <w:r w:rsidRPr="00DD31DF">
        <w:rPr>
          <w:rFonts w:ascii="Times New Roman" w:hAnsi="Times New Roman"/>
          <w:sz w:val="24"/>
          <w:szCs w:val="24"/>
          <w:lang w:val="en-AU"/>
        </w:rPr>
        <w:t xml:space="preserve">classified as </w:t>
      </w:r>
      <w:r>
        <w:rPr>
          <w:rFonts w:ascii="Times New Roman" w:hAnsi="Times New Roman"/>
          <w:sz w:val="24"/>
          <w:szCs w:val="24"/>
          <w:lang w:val="en-AU"/>
        </w:rPr>
        <w:t xml:space="preserve">risk </w:t>
      </w:r>
      <w:r w:rsidRPr="00DD31DF">
        <w:rPr>
          <w:rFonts w:ascii="Times New Roman" w:hAnsi="Times New Roman"/>
          <w:sz w:val="24"/>
          <w:szCs w:val="24"/>
          <w:lang w:val="en-AU"/>
        </w:rPr>
        <w:t>group 2</w:t>
      </w:r>
      <w:r>
        <w:rPr>
          <w:rFonts w:ascii="Times New Roman" w:hAnsi="Times New Roman"/>
          <w:sz w:val="24"/>
          <w:szCs w:val="24"/>
          <w:lang w:val="en-AU"/>
        </w:rPr>
        <w:t xml:space="preserve"> in contrast with </w:t>
      </w:r>
      <w:r w:rsidRPr="007F64E0">
        <w:rPr>
          <w:rFonts w:ascii="Times New Roman" w:hAnsi="Times New Roman"/>
          <w:sz w:val="24"/>
          <w:szCs w:val="24"/>
          <w:lang w:val="en-AU"/>
        </w:rPr>
        <w:t>d</w:t>
      </w:r>
      <w:r w:rsidRPr="007F64E0">
        <w:rPr>
          <w:rFonts w:ascii="Times New Roman" w:hAnsi="Times New Roman"/>
          <w:sz w:val="24"/>
          <w:szCs w:val="24"/>
          <w:shd w:val="clear" w:color="auto" w:fill="FFFFFF"/>
          <w:lang w:val="en-AU"/>
        </w:rPr>
        <w:t>irective 2000/54/EC</w:t>
      </w:r>
      <w:r>
        <w:rPr>
          <w:rFonts w:ascii="Times New Roman" w:hAnsi="Times New Roman"/>
          <w:sz w:val="24"/>
          <w:szCs w:val="24"/>
          <w:shd w:val="clear" w:color="auto" w:fill="FFFFFF"/>
          <w:lang w:val="en-AU"/>
        </w:rPr>
        <w:t xml:space="preserve">, where those species are classified as risk group 1. </w:t>
      </w:r>
      <w:r w:rsidRPr="00002FDB">
        <w:rPr>
          <w:rFonts w:ascii="Times New Roman" w:hAnsi="Times New Roman"/>
          <w:b/>
          <w:sz w:val="24"/>
          <w:szCs w:val="24"/>
          <w:shd w:val="clear" w:color="auto" w:fill="FFFFFF"/>
          <w:lang w:val="en-AU"/>
        </w:rPr>
        <w:t xml:space="preserve">We strongly recommend to follow the national rules. </w:t>
      </w:r>
    </w:p>
    <w:p w14:paraId="4F2291C7" w14:textId="77777777" w:rsidR="009B7028" w:rsidRPr="00105CDF" w:rsidRDefault="009B7028" w:rsidP="009B7028">
      <w:pPr>
        <w:ind w:firstLine="708"/>
        <w:rPr>
          <w:rFonts w:ascii="Times New Roman" w:eastAsia="Times New Roman" w:hAnsi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>Biological agents</w:t>
      </w:r>
      <w:r w:rsidRPr="007F64E0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 are classified into</w:t>
      </w:r>
      <w:r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 </w:t>
      </w:r>
      <w:r w:rsidRPr="007F64E0">
        <w:rPr>
          <w:rFonts w:ascii="Times New Roman" w:eastAsia="Times New Roman" w:hAnsi="Times New Roman"/>
          <w:sz w:val="24"/>
          <w:szCs w:val="24"/>
          <w:lang w:val="en-AU" w:eastAsia="cs-CZ"/>
        </w:rPr>
        <w:t>4</w:t>
      </w: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 risk groups, according to their level of risk of infection:</w:t>
      </w:r>
    </w:p>
    <w:p w14:paraId="7C3F6318" w14:textId="77777777" w:rsidR="009B7028" w:rsidRPr="007F64E0" w:rsidRDefault="009B7028" w:rsidP="009B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>group 1</w:t>
      </w:r>
      <w:r w:rsidRPr="007F64E0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 -</w:t>
      </w: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 biological agent is unlikely to cause human disease</w:t>
      </w:r>
    </w:p>
    <w:p w14:paraId="26C98DD3" w14:textId="77777777" w:rsidR="009B7028" w:rsidRPr="00105CDF" w:rsidRDefault="009B7028" w:rsidP="009B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group 2 </w:t>
      </w:r>
      <w:r w:rsidRPr="007F64E0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- </w:t>
      </w: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>biological agent can cause human disease and might be a hazard to workers; it is unlikely to spread to the community; there is usually effective prophylaxis or treatment available</w:t>
      </w:r>
    </w:p>
    <w:p w14:paraId="1D52A61B" w14:textId="77777777" w:rsidR="009B7028" w:rsidRPr="007F64E0" w:rsidRDefault="009B7028" w:rsidP="009B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group 3 </w:t>
      </w:r>
      <w:r w:rsidRPr="007F64E0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- </w:t>
      </w: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>biological agent can cause severe human disease and present a serious hazard to workers; it may present a risk of spreading to the community, but there is usually effective prophylaxis or treatment available</w:t>
      </w:r>
    </w:p>
    <w:p w14:paraId="06BB141B" w14:textId="77777777" w:rsidR="009B7028" w:rsidRDefault="009B7028" w:rsidP="009B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group 4 </w:t>
      </w:r>
      <w:r w:rsidRPr="007F64E0">
        <w:rPr>
          <w:rFonts w:ascii="Times New Roman" w:eastAsia="Times New Roman" w:hAnsi="Times New Roman"/>
          <w:sz w:val="24"/>
          <w:szCs w:val="24"/>
          <w:lang w:val="en-AU" w:eastAsia="cs-CZ"/>
        </w:rPr>
        <w:t xml:space="preserve">- </w:t>
      </w:r>
      <w:r w:rsidRPr="00105CDF">
        <w:rPr>
          <w:rFonts w:ascii="Times New Roman" w:eastAsia="Times New Roman" w:hAnsi="Times New Roman"/>
          <w:sz w:val="24"/>
          <w:szCs w:val="24"/>
          <w:lang w:val="en-AU" w:eastAsia="cs-CZ"/>
        </w:rPr>
        <w:t>biological agent causes severe human disease and is a serious hazard to workers; it may present a high risk of spreading to the community; there is usually no effective prophylaxis or treatment available.</w:t>
      </w:r>
    </w:p>
    <w:p w14:paraId="51FF0F6C" w14:textId="77777777" w:rsidR="009B7028" w:rsidRPr="00EF055B" w:rsidRDefault="009B7028" w:rsidP="009B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 w:eastAsia="cs-CZ"/>
        </w:rPr>
      </w:pPr>
    </w:p>
    <w:p w14:paraId="40FF843E" w14:textId="77777777" w:rsidR="009B7028" w:rsidRPr="007F64E0" w:rsidRDefault="009B7028" w:rsidP="009B7028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7F64E0">
        <w:rPr>
          <w:rFonts w:ascii="Times New Roman" w:hAnsi="Times New Roman"/>
          <w:sz w:val="24"/>
          <w:szCs w:val="24"/>
          <w:lang w:val="en-US"/>
        </w:rPr>
        <w:t xml:space="preserve">Decree No. 474/2002 Coll. </w:t>
      </w:r>
      <w:r w:rsidRPr="00002FDB">
        <w:rPr>
          <w:rFonts w:ascii="Times New Roman" w:hAnsi="Times New Roman"/>
          <w:b/>
          <w:sz w:val="24"/>
          <w:szCs w:val="24"/>
          <w:lang w:val="en-US"/>
        </w:rPr>
        <w:t>does not apply to any strains deposited in CCA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F64E0">
        <w:rPr>
          <w:rFonts w:ascii="Times New Roman" w:hAnsi="Times New Roman"/>
          <w:sz w:val="24"/>
          <w:szCs w:val="24"/>
          <w:lang w:val="en-US"/>
        </w:rPr>
        <w:t>Implementing Act No. 281/2002 Coll., performed by national authority (</w:t>
      </w:r>
      <w:r w:rsidRPr="007F64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State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7F64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ffice for Nuclear Safety) responsible for the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implementation</w:t>
      </w:r>
      <w:r w:rsidRPr="007F64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the </w:t>
      </w:r>
      <w:hyperlink r:id="rId8" w:tooltip="Reference to United Nations Office at Geneva website" w:history="1">
        <w:r w:rsidRPr="007F64E0">
          <w:rPr>
            <w:rStyle w:val="Hypertextovodkaz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Biological Weapons Convention</w:t>
        </w:r>
      </w:hyperlink>
      <w:r>
        <w:rPr>
          <w:rStyle w:val="Hypertextovodkaz"/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7F64E0">
        <w:rPr>
          <w:rStyle w:val="Hypertextovodkaz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14:paraId="334C579F" w14:textId="77777777" w:rsidR="008D3746" w:rsidRPr="009B7028" w:rsidRDefault="008D3746" w:rsidP="006C7EAB">
      <w:pPr>
        <w:spacing w:after="40"/>
        <w:rPr>
          <w:rFonts w:ascii="Gill Sans MT Pro Medium" w:hAnsi="Gill Sans MT Pro Medium"/>
          <w:color w:val="447A1C"/>
          <w:sz w:val="42"/>
          <w:szCs w:val="42"/>
          <w:lang w:val="en-US"/>
        </w:rPr>
      </w:pPr>
    </w:p>
    <w:sectPr w:rsidR="008D3746" w:rsidRPr="009B7028" w:rsidSect="00E93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7ECE" w14:textId="77777777" w:rsidR="00746722" w:rsidRDefault="00746722" w:rsidP="00390806">
      <w:pPr>
        <w:spacing w:after="0" w:line="240" w:lineRule="auto"/>
      </w:pPr>
      <w:r>
        <w:separator/>
      </w:r>
    </w:p>
  </w:endnote>
  <w:endnote w:type="continuationSeparator" w:id="0">
    <w:p w14:paraId="5143AE04" w14:textId="77777777" w:rsidR="00746722" w:rsidRDefault="00746722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80D" w14:textId="77777777" w:rsidR="00B2045C" w:rsidRDefault="00B204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15D" w14:textId="77777777" w:rsidR="00554A9B" w:rsidRDefault="00554A9B">
    <w:pPr>
      <w:pStyle w:val="Zpat"/>
    </w:pPr>
  </w:p>
  <w:p w14:paraId="2EC42AB6" w14:textId="77777777" w:rsidR="00554A9B" w:rsidRDefault="00554A9B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4A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E8D6" w14:textId="77777777" w:rsidR="004A312A" w:rsidRDefault="004A312A">
    <w:pPr>
      <w:pStyle w:val="Zpat"/>
    </w:pPr>
  </w:p>
  <w:p w14:paraId="7C8609D8" w14:textId="77777777" w:rsidR="004A312A" w:rsidRDefault="004A312A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4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9399" w14:textId="77777777" w:rsidR="00746722" w:rsidRDefault="00746722" w:rsidP="00390806">
      <w:pPr>
        <w:spacing w:after="0" w:line="240" w:lineRule="auto"/>
      </w:pPr>
      <w:r>
        <w:separator/>
      </w:r>
    </w:p>
  </w:footnote>
  <w:footnote w:type="continuationSeparator" w:id="0">
    <w:p w14:paraId="5F178E71" w14:textId="77777777" w:rsidR="00746722" w:rsidRDefault="00746722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6044" w14:textId="77777777" w:rsidR="00B2045C" w:rsidRDefault="00B204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C0E3" w14:textId="77777777" w:rsidR="00390806" w:rsidRDefault="00484A43">
    <w:pPr>
      <w:pStyle w:val="Zhlav"/>
    </w:pPr>
    <w:r>
      <w:rPr>
        <w:noProof/>
        <w:lang w:eastAsia="cs-CZ"/>
      </w:rPr>
      <w:drawing>
        <wp:inline distT="0" distB="0" distL="0" distR="0" wp14:anchorId="6FE00470" wp14:editId="00172FB5">
          <wp:extent cx="305689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829204" w14:textId="77777777" w:rsidR="004A312A" w:rsidRDefault="004A31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1B9B" w14:textId="77777777" w:rsidR="001841CA" w:rsidRDefault="00BF04AA">
    <w:pPr>
      <w:pStyle w:val="Zhlav"/>
    </w:pPr>
    <w:r>
      <w:rPr>
        <w:noProof/>
        <w:lang w:eastAsia="cs-CZ"/>
      </w:rPr>
      <w:drawing>
        <wp:inline distT="0" distB="0" distL="0" distR="0" wp14:anchorId="148DDF57" wp14:editId="21BDC302">
          <wp:extent cx="5989839" cy="1097375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ýstři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839" cy="109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A"/>
    <w:rsid w:val="000E5ADE"/>
    <w:rsid w:val="00111A35"/>
    <w:rsid w:val="001841CA"/>
    <w:rsid w:val="00247986"/>
    <w:rsid w:val="00281D24"/>
    <w:rsid w:val="002E668F"/>
    <w:rsid w:val="00325611"/>
    <w:rsid w:val="00390806"/>
    <w:rsid w:val="003A4E66"/>
    <w:rsid w:val="003E35D1"/>
    <w:rsid w:val="00484A43"/>
    <w:rsid w:val="004A312A"/>
    <w:rsid w:val="004C6872"/>
    <w:rsid w:val="00554A9B"/>
    <w:rsid w:val="006523FF"/>
    <w:rsid w:val="006C7EAB"/>
    <w:rsid w:val="00746722"/>
    <w:rsid w:val="007F3F68"/>
    <w:rsid w:val="00891231"/>
    <w:rsid w:val="008D3746"/>
    <w:rsid w:val="0092418E"/>
    <w:rsid w:val="009354D8"/>
    <w:rsid w:val="009429EF"/>
    <w:rsid w:val="0099214A"/>
    <w:rsid w:val="009B7028"/>
    <w:rsid w:val="009E2852"/>
    <w:rsid w:val="00A06973"/>
    <w:rsid w:val="00A65270"/>
    <w:rsid w:val="00B2045C"/>
    <w:rsid w:val="00B51D80"/>
    <w:rsid w:val="00BF04AA"/>
    <w:rsid w:val="00C56C2D"/>
    <w:rsid w:val="00C80009"/>
    <w:rsid w:val="00D163E5"/>
    <w:rsid w:val="00D20EA3"/>
    <w:rsid w:val="00E60900"/>
    <w:rsid w:val="00E93582"/>
    <w:rsid w:val="00F40591"/>
    <w:rsid w:val="00F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0E082"/>
  <w15:chartTrackingRefBased/>
  <w15:docId w15:val="{FA56A013-5E9E-40A0-AE3B-5D77E3DB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1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g.ch/80256EE600585943/(httpPages)/04FBBDD6315AC720C1257180004B1B2F?OpenDocu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rest/bitstreams/1323419/retriev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7A89-9135-4EBD-8331-F54CBD97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Kotrbovi Borovany</cp:lastModifiedBy>
  <cp:revision>3</cp:revision>
  <cp:lastPrinted>2013-07-17T08:46:00Z</cp:lastPrinted>
  <dcterms:created xsi:type="dcterms:W3CDTF">2018-10-17T12:43:00Z</dcterms:created>
  <dcterms:modified xsi:type="dcterms:W3CDTF">2021-12-20T09:08:00Z</dcterms:modified>
</cp:coreProperties>
</file>